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FOAIE DE PARCURS - SEPTEMBRIE 2024</w:t>
      </w:r>
    </w:p>
    <w:p>
      <w:r>
        <w:t>Antreprenor: Andrei Jonas</w:t>
      </w:r>
    </w:p>
    <w:p>
      <w:r>
        <w:t>Forma juridică: Întreprindere Individuală</w:t>
      </w:r>
    </w:p>
    <w:p>
      <w:r>
        <w:t>Cod fiscal: 49787187</w:t>
      </w:r>
    </w:p>
    <w:p>
      <w:r>
        <w:t>Nr. înmatriculare auto: B 123 XYZ (exemplu)</w:t>
      </w:r>
    </w:p>
    <w:p>
      <w:r>
        <w:t>Luna: Septembrie 2024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Data</w:t>
            </w:r>
          </w:p>
        </w:tc>
        <w:tc>
          <w:tcPr>
            <w:tcW w:type="dxa" w:w="1440"/>
          </w:tcPr>
          <w:p>
            <w:r>
              <w:t>Traseu (plecare - destinație)</w:t>
            </w:r>
          </w:p>
        </w:tc>
        <w:tc>
          <w:tcPr>
            <w:tcW w:type="dxa" w:w="1440"/>
          </w:tcPr>
          <w:p>
            <w:r>
              <w:t>Scopul deplasării</w:t>
            </w:r>
          </w:p>
        </w:tc>
        <w:tc>
          <w:tcPr>
            <w:tcW w:type="dxa" w:w="1440"/>
          </w:tcPr>
          <w:p>
            <w:r>
              <w:t>Km plecare</w:t>
            </w:r>
          </w:p>
        </w:tc>
        <w:tc>
          <w:tcPr>
            <w:tcW w:type="dxa" w:w="1440"/>
          </w:tcPr>
          <w:p>
            <w:r>
              <w:t>Km sosire</w:t>
            </w:r>
          </w:p>
        </w:tc>
        <w:tc>
          <w:tcPr>
            <w:tcW w:type="dxa" w:w="1440"/>
          </w:tcPr>
          <w:p>
            <w:r>
              <w:t>Km parcurși</w:t>
            </w:r>
          </w:p>
        </w:tc>
      </w:tr>
      <w:tr>
        <w:tc>
          <w:tcPr>
            <w:tcW w:type="dxa" w:w="1440"/>
          </w:tcPr>
          <w:p>
            <w:r>
              <w:t>02.09.2024</w:t>
            </w:r>
          </w:p>
        </w:tc>
        <w:tc>
          <w:tcPr>
            <w:tcW w:type="dxa" w:w="1440"/>
          </w:tcPr>
          <w:p>
            <w:r>
              <w:t>Făgăraș - Brașov</w:t>
            </w:r>
          </w:p>
        </w:tc>
        <w:tc>
          <w:tcPr>
            <w:tcW w:type="dxa" w:w="1440"/>
          </w:tcPr>
          <w:p>
            <w:r>
              <w:t>Achiziție piese auto</w:t>
            </w:r>
          </w:p>
        </w:tc>
        <w:tc>
          <w:tcPr>
            <w:tcW w:type="dxa" w:w="1440"/>
          </w:tcPr>
          <w:p>
            <w:r>
              <w:t>15000</w:t>
            </w:r>
          </w:p>
        </w:tc>
        <w:tc>
          <w:tcPr>
            <w:tcW w:type="dxa" w:w="1440"/>
          </w:tcPr>
          <w:p>
            <w:r>
              <w:t>15060</w:t>
            </w:r>
          </w:p>
        </w:tc>
        <w:tc>
          <w:tcPr>
            <w:tcW w:type="dxa" w:w="1440"/>
          </w:tcPr>
          <w:p>
            <w:r>
              <w:t>60</w:t>
            </w:r>
          </w:p>
        </w:tc>
      </w:tr>
      <w:tr>
        <w:tc>
          <w:tcPr>
            <w:tcW w:type="dxa" w:w="1440"/>
          </w:tcPr>
          <w:p>
            <w:r>
              <w:t>09.09.2024</w:t>
            </w:r>
          </w:p>
        </w:tc>
        <w:tc>
          <w:tcPr>
            <w:tcW w:type="dxa" w:w="1440"/>
          </w:tcPr>
          <w:p>
            <w:r>
              <w:t>Făgăraș - Sibiu</w:t>
            </w:r>
          </w:p>
        </w:tc>
        <w:tc>
          <w:tcPr>
            <w:tcW w:type="dxa" w:w="1440"/>
          </w:tcPr>
          <w:p>
            <w:r>
              <w:t>Întâlnire client detailing</w:t>
            </w:r>
          </w:p>
        </w:tc>
        <w:tc>
          <w:tcPr>
            <w:tcW w:type="dxa" w:w="1440"/>
          </w:tcPr>
          <w:p>
            <w:r>
              <w:t>15060</w:t>
            </w:r>
          </w:p>
        </w:tc>
        <w:tc>
          <w:tcPr>
            <w:tcW w:type="dxa" w:w="1440"/>
          </w:tcPr>
          <w:p>
            <w:r>
              <w:t>15170</w:t>
            </w:r>
          </w:p>
        </w:tc>
        <w:tc>
          <w:tcPr>
            <w:tcW w:type="dxa" w:w="1440"/>
          </w:tcPr>
          <w:p>
            <w:r>
              <w:t>110</w:t>
            </w:r>
          </w:p>
        </w:tc>
      </w:tr>
      <w:tr>
        <w:tc>
          <w:tcPr>
            <w:tcW w:type="dxa" w:w="1440"/>
          </w:tcPr>
          <w:p>
            <w:r>
              <w:t>15.09.2024</w:t>
            </w:r>
          </w:p>
        </w:tc>
        <w:tc>
          <w:tcPr>
            <w:tcW w:type="dxa" w:w="1440"/>
          </w:tcPr>
          <w:p>
            <w:r>
              <w:t>Făgăraș - Rădăuți</w:t>
            </w:r>
          </w:p>
        </w:tc>
        <w:tc>
          <w:tcPr>
            <w:tcW w:type="dxa" w:w="1440"/>
          </w:tcPr>
          <w:p>
            <w:r>
              <w:t>Montaj cauciucuri / service</w:t>
            </w:r>
          </w:p>
        </w:tc>
        <w:tc>
          <w:tcPr>
            <w:tcW w:type="dxa" w:w="1440"/>
          </w:tcPr>
          <w:p>
            <w:r>
              <w:t>15170</w:t>
            </w:r>
          </w:p>
        </w:tc>
        <w:tc>
          <w:tcPr>
            <w:tcW w:type="dxa" w:w="1440"/>
          </w:tcPr>
          <w:p>
            <w:r>
              <w:t>15470</w:t>
            </w:r>
          </w:p>
        </w:tc>
        <w:tc>
          <w:tcPr>
            <w:tcW w:type="dxa" w:w="1440"/>
          </w:tcPr>
          <w:p>
            <w:r>
              <w:t>300</w:t>
            </w:r>
          </w:p>
        </w:tc>
      </w:tr>
      <w:tr>
        <w:tc>
          <w:tcPr>
            <w:tcW w:type="dxa" w:w="1440"/>
          </w:tcPr>
          <w:p>
            <w:r>
              <w:t>21.09.2024</w:t>
            </w:r>
          </w:p>
        </w:tc>
        <w:tc>
          <w:tcPr>
            <w:tcW w:type="dxa" w:w="1440"/>
          </w:tcPr>
          <w:p>
            <w:r>
              <w:t>Făgăraș - Brașov</w:t>
            </w:r>
          </w:p>
        </w:tc>
        <w:tc>
          <w:tcPr>
            <w:tcW w:type="dxa" w:w="1440"/>
          </w:tcPr>
          <w:p>
            <w:r>
              <w:t>Achiziție materiale video</w:t>
            </w:r>
          </w:p>
        </w:tc>
        <w:tc>
          <w:tcPr>
            <w:tcW w:type="dxa" w:w="1440"/>
          </w:tcPr>
          <w:p>
            <w:r>
              <w:t>15470</w:t>
            </w:r>
          </w:p>
        </w:tc>
        <w:tc>
          <w:tcPr>
            <w:tcW w:type="dxa" w:w="1440"/>
          </w:tcPr>
          <w:p>
            <w:r>
              <w:t>15530</w:t>
            </w:r>
          </w:p>
        </w:tc>
        <w:tc>
          <w:tcPr>
            <w:tcW w:type="dxa" w:w="1440"/>
          </w:tcPr>
          <w:p>
            <w:r>
              <w:t>60</w:t>
            </w:r>
          </w:p>
        </w:tc>
      </w:tr>
    </w:tbl>
    <w:p/>
    <w:p>
      <w:r>
        <w:t>Semnătură utilizator: ____________________________</w:t>
      </w:r>
    </w:p>
    <w:p>
      <w:r>
        <w:br w:type="page"/>
      </w:r>
    </w:p>
    <w:p>
      <w:pPr>
        <w:pStyle w:val="Heading1"/>
      </w:pPr>
      <w:r>
        <w:t>Bază legală și justificare fiscală</w:t>
      </w:r>
    </w:p>
    <w:p>
      <w:r>
        <w:br/>
        <w:t>Conform Codului Fiscal (Legea nr. 227/2015), art. 25 alin. (3) lit. l), deductibilitatea integrală a cheltuielilor cu autovehiculele este permisă doar în cazul în care acestea sunt utilizate exclusiv în scopul activității economice.</w:t>
        <w:br/>
      </w:r>
    </w:p>
    <w:p>
      <w:r>
        <w:br/>
        <w:t>Pentru a justifica utilizarea exclusiv profesională, contribuabilul trebuie să țină evidențe clare (ex: foi de parcurs) care să conțină: data, traseul, scopul, km inițial/final și km parcurși.</w:t>
        <w:br/>
      </w:r>
    </w:p>
    <w:p>
      <w:r>
        <w:br/>
        <w:t>În lipsa acestei justificări, conform art. 25 alin. (3) lit. l), deductibilitatea se limitează la 50% pentru combustibil, reparații și întreținere.</w:t>
        <w:br/>
      </w:r>
    </w:p>
    <w:p>
      <w:r>
        <w:br/>
        <w:t>Prezenta foaie de parcurs acoperă luna septembrie 2024 și justifică deductibilitatea integrală pentru cheltuielile aferente: cauciucuri, piese auto și manoperă.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